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AB3" w:rsidRDefault="00B62AB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62AB3" w:rsidRDefault="00B62AB3">
      <w:pPr>
        <w:pStyle w:val="ConsPlusNormal"/>
        <w:jc w:val="both"/>
        <w:outlineLvl w:val="0"/>
      </w:pPr>
    </w:p>
    <w:p w:rsidR="00B62AB3" w:rsidRDefault="00B62AB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62AB3" w:rsidRDefault="00B62AB3">
      <w:pPr>
        <w:pStyle w:val="ConsPlusTitle"/>
        <w:jc w:val="center"/>
      </w:pPr>
    </w:p>
    <w:p w:rsidR="00B62AB3" w:rsidRDefault="00B62AB3">
      <w:pPr>
        <w:pStyle w:val="ConsPlusTitle"/>
        <w:jc w:val="center"/>
      </w:pPr>
      <w:r>
        <w:t>ПОСТАНОВЛЕНИЕ</w:t>
      </w:r>
    </w:p>
    <w:p w:rsidR="00B62AB3" w:rsidRDefault="00B62AB3">
      <w:pPr>
        <w:pStyle w:val="ConsPlusTitle"/>
        <w:jc w:val="center"/>
      </w:pPr>
      <w:r>
        <w:t>от 26 февраля 2010 г. N 96</w:t>
      </w:r>
    </w:p>
    <w:p w:rsidR="00B62AB3" w:rsidRDefault="00B62AB3">
      <w:pPr>
        <w:pStyle w:val="ConsPlusTitle"/>
        <w:jc w:val="center"/>
      </w:pPr>
    </w:p>
    <w:p w:rsidR="00B62AB3" w:rsidRDefault="00B62AB3">
      <w:pPr>
        <w:pStyle w:val="ConsPlusTitle"/>
        <w:jc w:val="center"/>
      </w:pPr>
      <w:r>
        <w:t>ОБ АНТИКОРРУПЦИОННОЙ ЭКСПЕРТИЗЕ</w:t>
      </w:r>
    </w:p>
    <w:p w:rsidR="00B62AB3" w:rsidRDefault="00B62AB3">
      <w:pPr>
        <w:pStyle w:val="ConsPlusTitle"/>
        <w:jc w:val="center"/>
      </w:pPr>
      <w:r>
        <w:t>НОРМАТИВНЫХ ПРАВОВЫХ АКТОВ И ПРОЕКТОВ НОРМАТИВНЫХ</w:t>
      </w:r>
    </w:p>
    <w:p w:rsidR="00B62AB3" w:rsidRDefault="00B62AB3">
      <w:pPr>
        <w:pStyle w:val="ConsPlusTitle"/>
        <w:jc w:val="center"/>
      </w:pPr>
      <w:r>
        <w:t>ПРАВОВЫХ АКТОВ</w:t>
      </w:r>
    </w:p>
    <w:p w:rsidR="00B62AB3" w:rsidRDefault="00B62AB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62A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2AB3" w:rsidRDefault="00B62A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2AB3" w:rsidRDefault="00B62A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B62AB3" w:rsidRDefault="00B62A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B62AB3" w:rsidRDefault="00B62A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B62AB3" w:rsidRDefault="00B62A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62AB3" w:rsidRDefault="00B62AB3">
      <w:pPr>
        <w:pStyle w:val="ConsPlusNormal"/>
        <w:jc w:val="center"/>
      </w:pPr>
    </w:p>
    <w:p w:rsidR="00B62AB3" w:rsidRDefault="00B62AB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B62AB3" w:rsidRDefault="00B62AB3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B62AB3" w:rsidRDefault="00B62AB3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62AB3" w:rsidRDefault="00B62AB3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B62AB3" w:rsidRDefault="00B62AB3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B62AB3" w:rsidRDefault="00B62AB3">
      <w:pPr>
        <w:pStyle w:val="ConsPlusNormal"/>
        <w:ind w:firstLine="540"/>
        <w:jc w:val="both"/>
      </w:pPr>
    </w:p>
    <w:p w:rsidR="00B62AB3" w:rsidRDefault="00B62AB3">
      <w:pPr>
        <w:pStyle w:val="ConsPlusNormal"/>
        <w:jc w:val="right"/>
      </w:pPr>
      <w:r>
        <w:t>Председатель Правительства</w:t>
      </w:r>
    </w:p>
    <w:p w:rsidR="00B62AB3" w:rsidRDefault="00B62AB3">
      <w:pPr>
        <w:pStyle w:val="ConsPlusNormal"/>
        <w:jc w:val="right"/>
      </w:pPr>
      <w:r>
        <w:t>Российской Федерации</w:t>
      </w:r>
    </w:p>
    <w:p w:rsidR="00B62AB3" w:rsidRDefault="00B62AB3">
      <w:pPr>
        <w:pStyle w:val="ConsPlusNormal"/>
        <w:jc w:val="right"/>
      </w:pPr>
      <w:r>
        <w:t>В.ПУТИН</w:t>
      </w:r>
    </w:p>
    <w:p w:rsidR="00B62AB3" w:rsidRDefault="00B62AB3">
      <w:pPr>
        <w:pStyle w:val="ConsPlusNormal"/>
        <w:ind w:firstLine="540"/>
        <w:jc w:val="both"/>
      </w:pPr>
    </w:p>
    <w:p w:rsidR="00B62AB3" w:rsidRDefault="00B62AB3">
      <w:pPr>
        <w:pStyle w:val="ConsPlusNormal"/>
        <w:ind w:firstLine="540"/>
        <w:jc w:val="both"/>
      </w:pPr>
    </w:p>
    <w:p w:rsidR="00B62AB3" w:rsidRDefault="00B62AB3">
      <w:pPr>
        <w:pStyle w:val="ConsPlusNormal"/>
        <w:ind w:firstLine="540"/>
        <w:jc w:val="both"/>
      </w:pPr>
    </w:p>
    <w:p w:rsidR="00B62AB3" w:rsidRDefault="00B62AB3">
      <w:pPr>
        <w:pStyle w:val="ConsPlusNormal"/>
        <w:ind w:firstLine="540"/>
        <w:jc w:val="both"/>
      </w:pPr>
    </w:p>
    <w:p w:rsidR="00B62AB3" w:rsidRDefault="00B62AB3">
      <w:pPr>
        <w:pStyle w:val="ConsPlusNormal"/>
        <w:ind w:firstLine="540"/>
        <w:jc w:val="both"/>
      </w:pPr>
    </w:p>
    <w:p w:rsidR="00B62AB3" w:rsidRDefault="00B62AB3">
      <w:pPr>
        <w:pStyle w:val="ConsPlusNormal"/>
        <w:jc w:val="right"/>
        <w:outlineLvl w:val="0"/>
      </w:pPr>
      <w:r>
        <w:t>Утверждены</w:t>
      </w:r>
    </w:p>
    <w:p w:rsidR="00B62AB3" w:rsidRDefault="00B62AB3">
      <w:pPr>
        <w:pStyle w:val="ConsPlusNormal"/>
        <w:jc w:val="right"/>
      </w:pPr>
      <w:r>
        <w:t>Постановлением Правительства</w:t>
      </w:r>
    </w:p>
    <w:p w:rsidR="00B62AB3" w:rsidRDefault="00B62AB3">
      <w:pPr>
        <w:pStyle w:val="ConsPlusNormal"/>
        <w:jc w:val="right"/>
      </w:pPr>
      <w:r>
        <w:t>Российской Федерации</w:t>
      </w:r>
    </w:p>
    <w:p w:rsidR="00B62AB3" w:rsidRDefault="00B62AB3">
      <w:pPr>
        <w:pStyle w:val="ConsPlusNormal"/>
        <w:jc w:val="right"/>
      </w:pPr>
      <w:r>
        <w:t>от 26 февраля 2010 г. N 96</w:t>
      </w:r>
    </w:p>
    <w:p w:rsidR="00B62AB3" w:rsidRDefault="00B62AB3">
      <w:pPr>
        <w:pStyle w:val="ConsPlusNormal"/>
        <w:ind w:firstLine="540"/>
        <w:jc w:val="both"/>
      </w:pPr>
    </w:p>
    <w:p w:rsidR="00B62AB3" w:rsidRDefault="00B62AB3">
      <w:pPr>
        <w:pStyle w:val="ConsPlusTitle"/>
        <w:jc w:val="center"/>
      </w:pPr>
      <w:bookmarkStart w:id="0" w:name="P36"/>
      <w:bookmarkEnd w:id="0"/>
      <w:r>
        <w:t>ПРАВИЛА</w:t>
      </w:r>
    </w:p>
    <w:p w:rsidR="00B62AB3" w:rsidRDefault="00B62AB3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B62AB3" w:rsidRDefault="00B62AB3">
      <w:pPr>
        <w:pStyle w:val="ConsPlusTitle"/>
        <w:jc w:val="center"/>
      </w:pPr>
      <w:r>
        <w:t>ПРАВОВЫХ АКТОВ И ПРОЕКТОВ НОРМАТИВНЫХ ПРАВОВЫХ АКТОВ</w:t>
      </w:r>
    </w:p>
    <w:p w:rsidR="00B62AB3" w:rsidRDefault="00B62AB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62A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2AB3" w:rsidRDefault="00B62A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2AB3" w:rsidRDefault="00B62A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B62AB3" w:rsidRDefault="00B62A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5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B62AB3" w:rsidRDefault="00B62A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B62AB3" w:rsidRDefault="00B62A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9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62AB3" w:rsidRDefault="00B62AB3">
      <w:pPr>
        <w:pStyle w:val="ConsPlusNormal"/>
        <w:ind w:firstLine="540"/>
        <w:jc w:val="both"/>
      </w:pPr>
    </w:p>
    <w:p w:rsidR="00B62AB3" w:rsidRDefault="00B62AB3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B62AB3" w:rsidRDefault="00B62AB3">
      <w:pPr>
        <w:pStyle w:val="ConsPlusNormal"/>
        <w:spacing w:before="220"/>
        <w:ind w:firstLine="540"/>
        <w:jc w:val="both"/>
      </w:pPr>
      <w:bookmarkStart w:id="1" w:name="P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B62AB3" w:rsidRDefault="00B62AB3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B62AB3" w:rsidRDefault="00B62AB3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1" w:history="1">
        <w:r>
          <w:rPr>
            <w:color w:val="0000FF"/>
          </w:rPr>
          <w:t>N 1075</w:t>
        </w:r>
      </w:hyperlink>
      <w:r>
        <w:t>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B62AB3" w:rsidRDefault="00B62AB3">
      <w:pPr>
        <w:pStyle w:val="ConsPlusNormal"/>
        <w:spacing w:before="220"/>
        <w:ind w:firstLine="540"/>
        <w:jc w:val="both"/>
      </w:pPr>
      <w:bookmarkStart w:id="3" w:name="P51"/>
      <w:bookmarkEnd w:id="3"/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B62AB3" w:rsidRDefault="00B62AB3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B62AB3" w:rsidRDefault="00B62AB3">
      <w:pPr>
        <w:pStyle w:val="ConsPlusNormal"/>
        <w:spacing w:before="220"/>
        <w:ind w:firstLine="540"/>
        <w:jc w:val="both"/>
      </w:pPr>
      <w:bookmarkStart w:id="4" w:name="P53"/>
      <w:bookmarkEnd w:id="4"/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B62AB3" w:rsidRDefault="00B62AB3">
      <w:pPr>
        <w:pStyle w:val="ConsPlusNormal"/>
        <w:jc w:val="both"/>
      </w:pPr>
      <w:r>
        <w:t xml:space="preserve">(п. 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B62AB3" w:rsidRDefault="00B62AB3">
      <w:pPr>
        <w:pStyle w:val="ConsPlusNormal"/>
        <w:spacing w:before="220"/>
        <w:ind w:firstLine="540"/>
        <w:jc w:val="both"/>
      </w:pPr>
      <w:bookmarkStart w:id="5" w:name="P55"/>
      <w:bookmarkEnd w:id="5"/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</w:t>
      </w:r>
      <w:r>
        <w:lastRenderedPageBreak/>
        <w:t>разногласий по проектам актов, внесенным в Правительство Российской Федерации с разногласиями.</w:t>
      </w:r>
    </w:p>
    <w:p w:rsidR="00B62AB3" w:rsidRDefault="00B62AB3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B62AB3" w:rsidRDefault="00B62AB3">
      <w:pPr>
        <w:pStyle w:val="ConsPlusNormal"/>
        <w:spacing w:before="220"/>
        <w:ind w:firstLine="540"/>
        <w:jc w:val="both"/>
      </w:pPr>
      <w:bookmarkStart w:id="6" w:name="P57"/>
      <w:bookmarkEnd w:id="6"/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B62AB3" w:rsidRDefault="00B62AB3">
      <w:pPr>
        <w:pStyle w:val="ConsPlusNormal"/>
        <w:jc w:val="both"/>
      </w:pPr>
      <w:r>
        <w:t xml:space="preserve">(п. 3(1)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29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B62AB3" w:rsidRDefault="00B62AB3">
      <w:pPr>
        <w:pStyle w:val="ConsPlusNormal"/>
        <w:jc w:val="both"/>
      </w:pPr>
      <w:r>
        <w:t xml:space="preserve">(п. 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B62AB3" w:rsidRDefault="00B62AB3">
      <w:pPr>
        <w:pStyle w:val="ConsPlusNormal"/>
        <w:spacing w:before="220"/>
        <w:ind w:firstLine="540"/>
        <w:jc w:val="both"/>
      </w:pPr>
      <w:bookmarkStart w:id="7" w:name="P61"/>
      <w:bookmarkEnd w:id="7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B62AB3" w:rsidRDefault="00B62AB3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3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4" w:history="1">
        <w:r>
          <w:rPr>
            <w:color w:val="0000FF"/>
          </w:rPr>
          <w:t>N 83</w:t>
        </w:r>
      </w:hyperlink>
      <w:r>
        <w:t>)</w:t>
      </w:r>
    </w:p>
    <w:p w:rsidR="00B62AB3" w:rsidRDefault="00B62AB3">
      <w:pPr>
        <w:pStyle w:val="ConsPlusNormal"/>
        <w:spacing w:before="220"/>
        <w:ind w:firstLine="540"/>
        <w:jc w:val="both"/>
      </w:pPr>
      <w:bookmarkStart w:id="8" w:name="P63"/>
      <w:bookmarkEnd w:id="8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B62AB3" w:rsidRDefault="00B62AB3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B62AB3" w:rsidRDefault="00B62AB3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10.07.2017 N 813)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B62AB3" w:rsidRDefault="00B62AB3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B62AB3" w:rsidRDefault="00B62AB3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B62AB3" w:rsidRDefault="00B62AB3">
      <w:pPr>
        <w:pStyle w:val="ConsPlusNormal"/>
        <w:spacing w:before="220"/>
        <w:ind w:firstLine="540"/>
        <w:jc w:val="both"/>
      </w:pPr>
      <w:bookmarkStart w:id="9" w:name="P71"/>
      <w:bookmarkEnd w:id="9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B62AB3" w:rsidRDefault="00B62AB3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B62AB3" w:rsidRDefault="00B62AB3">
      <w:pPr>
        <w:pStyle w:val="ConsPlusNormal"/>
        <w:spacing w:before="220"/>
        <w:ind w:firstLine="540"/>
        <w:jc w:val="both"/>
      </w:pPr>
      <w:bookmarkStart w:id="10" w:name="P73"/>
      <w:bookmarkEnd w:id="10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B62AB3" w:rsidRDefault="00B62AB3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B62AB3" w:rsidRDefault="00B62AB3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B62AB3" w:rsidRDefault="00B62AB3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B62AB3" w:rsidRDefault="00B62AB3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6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7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 xml:space="preserve"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</w:t>
      </w:r>
      <w:r>
        <w:lastRenderedPageBreak/>
        <w:t>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B62AB3" w:rsidRDefault="00B62AB3">
      <w:pPr>
        <w:pStyle w:val="ConsPlusNormal"/>
        <w:jc w:val="both"/>
      </w:pPr>
      <w:r>
        <w:t xml:space="preserve">(п. 7(1)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B62AB3" w:rsidRDefault="00B62AB3">
      <w:pPr>
        <w:pStyle w:val="ConsPlusNormal"/>
        <w:jc w:val="both"/>
      </w:pPr>
      <w:r>
        <w:t xml:space="preserve">(п. 7(2)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B62AB3" w:rsidRDefault="00B62AB3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B62AB3" w:rsidRDefault="00B62AB3">
      <w:pPr>
        <w:pStyle w:val="ConsPlusNormal"/>
        <w:jc w:val="both"/>
      </w:pPr>
      <w:r>
        <w:t xml:space="preserve">(п. 7(3)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B62AB3" w:rsidRDefault="00B62AB3">
      <w:pPr>
        <w:pStyle w:val="ConsPlusNormal"/>
        <w:jc w:val="both"/>
      </w:pPr>
      <w:r>
        <w:t xml:space="preserve">(п. 7(4)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</w:t>
      </w:r>
      <w:r>
        <w:lastRenderedPageBreak/>
        <w:t>антикоррупционной экспертизе нормативных правовых актов и проектов нормативных правовых актов".</w:t>
      </w:r>
    </w:p>
    <w:p w:rsidR="00B62AB3" w:rsidRDefault="00B62AB3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B62AB3" w:rsidRDefault="00B62AB3">
      <w:pPr>
        <w:pStyle w:val="ConsPlusNormal"/>
        <w:ind w:firstLine="540"/>
        <w:jc w:val="both"/>
      </w:pPr>
    </w:p>
    <w:p w:rsidR="00B62AB3" w:rsidRDefault="00B62AB3">
      <w:pPr>
        <w:pStyle w:val="ConsPlusNormal"/>
        <w:ind w:firstLine="540"/>
        <w:jc w:val="both"/>
      </w:pPr>
    </w:p>
    <w:p w:rsidR="00B62AB3" w:rsidRDefault="00B62AB3">
      <w:pPr>
        <w:pStyle w:val="ConsPlusNormal"/>
        <w:ind w:firstLine="540"/>
        <w:jc w:val="both"/>
      </w:pPr>
    </w:p>
    <w:p w:rsidR="00B62AB3" w:rsidRDefault="00B62AB3">
      <w:pPr>
        <w:pStyle w:val="ConsPlusNormal"/>
        <w:ind w:firstLine="540"/>
        <w:jc w:val="both"/>
      </w:pPr>
    </w:p>
    <w:p w:rsidR="00B62AB3" w:rsidRDefault="00B62AB3">
      <w:pPr>
        <w:pStyle w:val="ConsPlusNormal"/>
        <w:ind w:firstLine="540"/>
        <w:jc w:val="both"/>
      </w:pPr>
    </w:p>
    <w:p w:rsidR="00B62AB3" w:rsidRDefault="00B62AB3">
      <w:pPr>
        <w:pStyle w:val="ConsPlusNormal"/>
        <w:jc w:val="right"/>
        <w:outlineLvl w:val="0"/>
      </w:pPr>
      <w:r>
        <w:t>Утверждена</w:t>
      </w:r>
    </w:p>
    <w:p w:rsidR="00B62AB3" w:rsidRDefault="00B62AB3">
      <w:pPr>
        <w:pStyle w:val="ConsPlusNormal"/>
        <w:jc w:val="right"/>
      </w:pPr>
      <w:r>
        <w:t>Постановлением Правительства</w:t>
      </w:r>
    </w:p>
    <w:p w:rsidR="00B62AB3" w:rsidRDefault="00B62AB3">
      <w:pPr>
        <w:pStyle w:val="ConsPlusNormal"/>
        <w:jc w:val="right"/>
      </w:pPr>
      <w:r>
        <w:t>Российской Федерации</w:t>
      </w:r>
    </w:p>
    <w:p w:rsidR="00B62AB3" w:rsidRDefault="00B62AB3">
      <w:pPr>
        <w:pStyle w:val="ConsPlusNormal"/>
        <w:jc w:val="right"/>
      </w:pPr>
      <w:r>
        <w:t>от 26 февраля 2010 г. N 96</w:t>
      </w:r>
    </w:p>
    <w:p w:rsidR="00B62AB3" w:rsidRDefault="00B62AB3">
      <w:pPr>
        <w:pStyle w:val="ConsPlusNormal"/>
        <w:ind w:firstLine="540"/>
        <w:jc w:val="both"/>
      </w:pPr>
    </w:p>
    <w:p w:rsidR="00B62AB3" w:rsidRDefault="00B62AB3">
      <w:pPr>
        <w:pStyle w:val="ConsPlusTitle"/>
        <w:jc w:val="center"/>
      </w:pPr>
      <w:bookmarkStart w:id="11" w:name="P111"/>
      <w:bookmarkEnd w:id="11"/>
      <w:r>
        <w:t>МЕТОДИКА</w:t>
      </w:r>
    </w:p>
    <w:p w:rsidR="00B62AB3" w:rsidRDefault="00B62AB3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B62AB3" w:rsidRDefault="00B62AB3">
      <w:pPr>
        <w:pStyle w:val="ConsPlusTitle"/>
        <w:jc w:val="center"/>
      </w:pPr>
      <w:r>
        <w:t>ПРАВОВЫХ АКТОВ И ПРОЕКТОВ НОРМАТИВНЫХ ПРАВОВЫХ АКТОВ</w:t>
      </w:r>
    </w:p>
    <w:p w:rsidR="00B62AB3" w:rsidRDefault="00B62AB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62A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2AB3" w:rsidRDefault="00B62A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2AB3" w:rsidRDefault="00B62A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:rsidR="00B62AB3" w:rsidRDefault="00B62AB3">
      <w:pPr>
        <w:pStyle w:val="ConsPlusNormal"/>
        <w:jc w:val="center"/>
      </w:pPr>
    </w:p>
    <w:p w:rsidR="00B62AB3" w:rsidRDefault="00B62AB3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B62AB3" w:rsidRDefault="00B62AB3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B62AB3" w:rsidRDefault="00B62AB3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B62AB3" w:rsidRDefault="00B62AB3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lastRenderedPageBreak/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B62AB3" w:rsidRDefault="00B62AB3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B62AB3" w:rsidRDefault="00B62AB3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B62AB3" w:rsidRDefault="00B62AB3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B62AB3" w:rsidRDefault="00B62AB3">
      <w:pPr>
        <w:pStyle w:val="ConsPlusNormal"/>
        <w:jc w:val="both"/>
      </w:pPr>
      <w:r>
        <w:t xml:space="preserve">(пп. "и"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B62AB3" w:rsidRDefault="00B62AB3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B62AB3" w:rsidRDefault="00B62AB3">
      <w:pPr>
        <w:pStyle w:val="ConsPlusNormal"/>
        <w:ind w:firstLine="540"/>
        <w:jc w:val="both"/>
      </w:pPr>
    </w:p>
    <w:p w:rsidR="00B62AB3" w:rsidRDefault="00B62AB3">
      <w:pPr>
        <w:pStyle w:val="ConsPlusNormal"/>
        <w:ind w:firstLine="540"/>
        <w:jc w:val="both"/>
      </w:pPr>
    </w:p>
    <w:p w:rsidR="00B62AB3" w:rsidRDefault="00B62A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57F4" w:rsidRDefault="004057F4">
      <w:bookmarkStart w:id="12" w:name="_GoBack"/>
      <w:bookmarkEnd w:id="12"/>
    </w:p>
    <w:sectPr w:rsidR="004057F4" w:rsidSect="003D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B3"/>
    <w:rsid w:val="004057F4"/>
    <w:rsid w:val="00B62AB3"/>
    <w:rsid w:val="00D2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E21C7-686E-4D7A-ABA1-17A740EA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2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2A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A623DFA9C1EE1CC8332D3F0C56D7334F2CB05907517F8B4764F5C86ZFoBF" TargetMode="External"/><Relationship Id="rId18" Type="http://schemas.openxmlformats.org/officeDocument/2006/relationships/hyperlink" Target="consultantplus://offline/ref=CA623DFA9C1EE1CC8332D3F0C56D7334FBC603917418A5BE7E165084FC210049C7D0A3AD26D73D91ZAo1F" TargetMode="External"/><Relationship Id="rId26" Type="http://schemas.openxmlformats.org/officeDocument/2006/relationships/hyperlink" Target="consultantplus://offline/ref=CA623DFA9C1EE1CC8332D3F0C56D7334F8CE0194721AA5BE7E165084FC210049C7D0A3AD26D73C90ZAo4F" TargetMode="External"/><Relationship Id="rId39" Type="http://schemas.openxmlformats.org/officeDocument/2006/relationships/hyperlink" Target="consultantplus://offline/ref=CA623DFA9C1EE1CC8332D3F0C56D7334F8CC0095721AA5BE7E165084FC210049C7D0A3AD26D73D9AZAo4F" TargetMode="External"/><Relationship Id="rId21" Type="http://schemas.openxmlformats.org/officeDocument/2006/relationships/hyperlink" Target="consultantplus://offline/ref=CA623DFA9C1EE1CC8332D3F0C56D7334FBCB049C711EA5BE7E165084FC210049C7D0A3AD26D73D92ZAo6F" TargetMode="External"/><Relationship Id="rId34" Type="http://schemas.openxmlformats.org/officeDocument/2006/relationships/hyperlink" Target="consultantplus://offline/ref=CA623DFA9C1EE1CC8332D3F0C56D7334F8CE0194721AA5BE7E165084FC210049C7D0A3AD26D73C90ZAo5F" TargetMode="External"/><Relationship Id="rId42" Type="http://schemas.openxmlformats.org/officeDocument/2006/relationships/hyperlink" Target="consultantplus://offline/ref=CA623DFA9C1EE1CC8332D3F0C56D7334F8C60997771DA5BE7E165084FC210049C7D0A3ZAoFF" TargetMode="External"/><Relationship Id="rId47" Type="http://schemas.openxmlformats.org/officeDocument/2006/relationships/hyperlink" Target="consultantplus://offline/ref=CA623DFA9C1EE1CC8332D3F0C56D7334F8CC019C751DA5BE7E165084FC210049C7D0A3A9Z2o7F" TargetMode="External"/><Relationship Id="rId50" Type="http://schemas.openxmlformats.org/officeDocument/2006/relationships/hyperlink" Target="consultantplus://offline/ref=CA623DFA9C1EE1CC8332D3F0C56D7334F8CC0095721AA5BE7E165084FC210049C7D0A3AD26D73D9AZAo4F" TargetMode="External"/><Relationship Id="rId55" Type="http://schemas.openxmlformats.org/officeDocument/2006/relationships/hyperlink" Target="consultantplus://offline/ref=CA623DFA9C1EE1CC8332D3F0C56D7334FBC603917418A5BE7E165084FC210049C7D0A3AD26D73D90ZAo0F" TargetMode="External"/><Relationship Id="rId63" Type="http://schemas.openxmlformats.org/officeDocument/2006/relationships/hyperlink" Target="consultantplus://offline/ref=CA623DFA9C1EE1CC8332D3F0C56D7334FBCA04977115A5BE7E165084FC210049C7D0A3AD26D73D96ZAo7F" TargetMode="External"/><Relationship Id="rId68" Type="http://schemas.openxmlformats.org/officeDocument/2006/relationships/hyperlink" Target="consultantplus://offline/ref=CA623DFA9C1EE1CC8332D3F0C56D7334FBC603917418A5BE7E165084FC210049C7D0A3AD26D73D97ZAo7F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CA623DFA9C1EE1CC8332D3F0C56D7334FBCB049C711EA5BE7E165084FC210049C7D0A3AD26D73D92ZAo6F" TargetMode="External"/><Relationship Id="rId71" Type="http://schemas.openxmlformats.org/officeDocument/2006/relationships/hyperlink" Target="consultantplus://offline/ref=CA623DFA9C1EE1CC8332D3F0C56D7334FBC603917418A5BE7E165084FC210049C7D0A3AD26D73D97ZAo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623DFA9C1EE1CC8332D3F0C56D7334FBCB049C711EA5BE7E165084FC210049C7D0A3AD26D73D92ZAo6F" TargetMode="External"/><Relationship Id="rId29" Type="http://schemas.openxmlformats.org/officeDocument/2006/relationships/hyperlink" Target="consultantplus://offline/ref=CA623DFA9C1EE1CC8332D3F0C56D7334F8C90992761BA5BE7E165084FC210049C7D0A3AD26D73D92ZAo0F" TargetMode="External"/><Relationship Id="rId11" Type="http://schemas.openxmlformats.org/officeDocument/2006/relationships/hyperlink" Target="consultantplus://offline/ref=CA623DFA9C1EE1CC8332D3F0C56D7334FBCB03917F1BA5BE7E165084FCZ2o1F" TargetMode="External"/><Relationship Id="rId24" Type="http://schemas.openxmlformats.org/officeDocument/2006/relationships/hyperlink" Target="consultantplus://offline/ref=CA623DFA9C1EE1CC8332D3F0C56D7334FBCA04977115A5BE7E165084FC210049C7D0A3AD26D73D90ZAo4F" TargetMode="External"/><Relationship Id="rId32" Type="http://schemas.openxmlformats.org/officeDocument/2006/relationships/hyperlink" Target="consultantplus://offline/ref=CA623DFA9C1EE1CC8332D3F0C56D7334FBCD09967E1EA5BE7E165084FC210049C7D0A3AD26D73D92ZAoEF" TargetMode="External"/><Relationship Id="rId37" Type="http://schemas.openxmlformats.org/officeDocument/2006/relationships/hyperlink" Target="consultantplus://offline/ref=CA623DFA9C1EE1CC8332D3F0C56D7334F8C9099D731FA5BE7E165084FC210049C7D0A3AD26D73D91ZAo2F" TargetMode="External"/><Relationship Id="rId40" Type="http://schemas.openxmlformats.org/officeDocument/2006/relationships/hyperlink" Target="consultantplus://offline/ref=CA623DFA9C1EE1CC8332D3F0C56D7334F8C60997771DA5BE7E165084FC210049C7D0A3AD26D73D92ZAo1F" TargetMode="External"/><Relationship Id="rId45" Type="http://schemas.openxmlformats.org/officeDocument/2006/relationships/hyperlink" Target="consultantplus://offline/ref=CA623DFA9C1EE1CC8332D3F0C56D7334FBCD09967E1EA5BE7E165084FC210049C7D0A3AD26D73D92ZAoFF" TargetMode="External"/><Relationship Id="rId53" Type="http://schemas.openxmlformats.org/officeDocument/2006/relationships/hyperlink" Target="consultantplus://offline/ref=CA623DFA9C1EE1CC8332D3F0C56D7334F8C60997771DA5BE7E165084FC210049C7D0A3ZAoFF" TargetMode="External"/><Relationship Id="rId58" Type="http://schemas.openxmlformats.org/officeDocument/2006/relationships/hyperlink" Target="consultantplus://offline/ref=CA623DFA9C1EE1CC8332D3F0C56D7334FBCA04977115A5BE7E165084FC210049C7D0A3AD26D73D97ZAo6F" TargetMode="External"/><Relationship Id="rId66" Type="http://schemas.openxmlformats.org/officeDocument/2006/relationships/hyperlink" Target="consultantplus://offline/ref=CA623DFA9C1EE1CC8332D3F0C56D7334FBC603917418A5BE7E165084FC210049C7D0A3AD26D73D97ZAo6F" TargetMode="External"/><Relationship Id="rId74" Type="http://schemas.openxmlformats.org/officeDocument/2006/relationships/hyperlink" Target="consultantplus://offline/ref=CA623DFA9C1EE1CC8332D3F0C56D7334FBC603917418A5BE7E165084FC210049C7D0A3AD26D73D97ZAo3F" TargetMode="External"/><Relationship Id="rId5" Type="http://schemas.openxmlformats.org/officeDocument/2006/relationships/hyperlink" Target="consultantplus://offline/ref=CA623DFA9C1EE1CC8332D3F0C56D7334FBCD09967E1EA5BE7E165084FC210049C7D0A3AD26D73D92ZAo1F" TargetMode="External"/><Relationship Id="rId15" Type="http://schemas.openxmlformats.org/officeDocument/2006/relationships/hyperlink" Target="consultantplus://offline/ref=CA623DFA9C1EE1CC8332D3F0C56D7334FBCA04977115A5BE7E165084FC210049C7D0A3AD26D73D91ZAoEF" TargetMode="External"/><Relationship Id="rId23" Type="http://schemas.openxmlformats.org/officeDocument/2006/relationships/hyperlink" Target="consultantplus://offline/ref=CA623DFA9C1EE1CC8332D3F0C56D7334F8CE019D7718A5BE7E165084FC210049C7D0A3AD26D73D96ZAo6F" TargetMode="External"/><Relationship Id="rId28" Type="http://schemas.openxmlformats.org/officeDocument/2006/relationships/hyperlink" Target="consultantplus://offline/ref=CA623DFA9C1EE1CC8332D3F0C56D7334FBCA04977115A5BE7E165084FC210049C7D0A3AD26D73D90ZAo2F" TargetMode="External"/><Relationship Id="rId36" Type="http://schemas.openxmlformats.org/officeDocument/2006/relationships/hyperlink" Target="consultantplus://offline/ref=CA623DFA9C1EE1CC8332D3F0C56D7334F8C9099D731EA5BE7E165084FC210049C7D0A3AD23ZDo0F" TargetMode="External"/><Relationship Id="rId49" Type="http://schemas.openxmlformats.org/officeDocument/2006/relationships/hyperlink" Target="consultantplus://offline/ref=CA623DFA9C1EE1CC8332D3F0C56D7334F8CE0194721AA5BE7E165084FC210049C7D0A3AD26D73C90ZAoEF" TargetMode="External"/><Relationship Id="rId57" Type="http://schemas.openxmlformats.org/officeDocument/2006/relationships/hyperlink" Target="consultantplus://offline/ref=CA623DFA9C1EE1CC8332D3F0C56D7334F8C90992761BA5BE7E165084FC210049C7D0A3AD26D73D92ZAo0F" TargetMode="External"/><Relationship Id="rId61" Type="http://schemas.openxmlformats.org/officeDocument/2006/relationships/hyperlink" Target="consultantplus://offline/ref=CA623DFA9C1EE1CC8332D3F0C56D7334FBCA04977115A5BE7E165084FC210049C7D0A3AD26D73D96ZAo6F" TargetMode="External"/><Relationship Id="rId10" Type="http://schemas.openxmlformats.org/officeDocument/2006/relationships/hyperlink" Target="consultantplus://offline/ref=CA623DFA9C1EE1CC8332D3F0C56D7334F8CC0095721AA5BE7E165084FC210049C7D0A3AD26D73D9AZAo4F" TargetMode="External"/><Relationship Id="rId19" Type="http://schemas.openxmlformats.org/officeDocument/2006/relationships/hyperlink" Target="consultantplus://offline/ref=CA623DFA9C1EE1CC8332D3F0C56D7334F8CC0095721AA5BE7E165084FC210049C7D0A3AD26D73D9AZAo4F" TargetMode="External"/><Relationship Id="rId31" Type="http://schemas.openxmlformats.org/officeDocument/2006/relationships/hyperlink" Target="consultantplus://offline/ref=CA623DFA9C1EE1CC8332D3F0C56D7334F8C9099D731EA5BE7E165084FC210049C7D0A3AD26D73C91ZAoEF" TargetMode="External"/><Relationship Id="rId44" Type="http://schemas.openxmlformats.org/officeDocument/2006/relationships/hyperlink" Target="consultantplus://offline/ref=CA623DFA9C1EE1CC8332D3F0C56D7334FBC603917418A5BE7E165084FC210049C7D0A3AD26D73D90ZAo7F" TargetMode="External"/><Relationship Id="rId52" Type="http://schemas.openxmlformats.org/officeDocument/2006/relationships/hyperlink" Target="consultantplus://offline/ref=CA623DFA9C1EE1CC8332D3F0C56D7334F8C60997771DA5BE7E165084FC210049C7D0A3AD26D73D92ZAo1F" TargetMode="External"/><Relationship Id="rId60" Type="http://schemas.openxmlformats.org/officeDocument/2006/relationships/hyperlink" Target="consultantplus://offline/ref=CA623DFA9C1EE1CC8332D3F0C56D7334FBC603917418A5BE7E165084FC210049C7D0A3AD26D73D90ZAoEF" TargetMode="External"/><Relationship Id="rId65" Type="http://schemas.openxmlformats.org/officeDocument/2006/relationships/hyperlink" Target="consultantplus://offline/ref=CA623DFA9C1EE1CC8332D3F0C56D7334FBCA04977115A5BE7E165084FC210049C7D0A3AD26D73D96ZAo4F" TargetMode="External"/><Relationship Id="rId73" Type="http://schemas.openxmlformats.org/officeDocument/2006/relationships/hyperlink" Target="consultantplus://offline/ref=CA623DFA9C1EE1CC8332D3F0C56D7334FBC603917418A5BE7E165084FC210049C7D0A3AD26D73D97ZAo5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A623DFA9C1EE1CC8332D3F0C56D7334FBC603917418A5BE7E165084FC210049C7D0A3AD26D73D91ZAo0F" TargetMode="External"/><Relationship Id="rId14" Type="http://schemas.openxmlformats.org/officeDocument/2006/relationships/hyperlink" Target="consultantplus://offline/ref=CA623DFA9C1EE1CC8332D3F0C56D7334FBCD09967E1EA5BE7E165084FC210049C7D0A3AD26D73D92ZAo1F" TargetMode="External"/><Relationship Id="rId22" Type="http://schemas.openxmlformats.org/officeDocument/2006/relationships/hyperlink" Target="consultantplus://offline/ref=CA623DFA9C1EE1CC8332D3F0C56D7334FBCA04977115A5BE7E165084FC210049C7D0A3AD26D73D90ZAo7F" TargetMode="External"/><Relationship Id="rId27" Type="http://schemas.openxmlformats.org/officeDocument/2006/relationships/hyperlink" Target="consultantplus://offline/ref=CA623DFA9C1EE1CC8332D3F0C56D7334F8CC019C751DA5BE7E165084FC210049C7D0A3AD26D73D91ZAoEF" TargetMode="External"/><Relationship Id="rId30" Type="http://schemas.openxmlformats.org/officeDocument/2006/relationships/hyperlink" Target="consultantplus://offline/ref=CA623DFA9C1EE1CC8332D3F0C56D7334FBCA04977115A5BE7E165084FC210049C7D0A3AD26D73D90ZAo1F" TargetMode="External"/><Relationship Id="rId35" Type="http://schemas.openxmlformats.org/officeDocument/2006/relationships/hyperlink" Target="consultantplus://offline/ref=CA623DFA9C1EE1CC8332D3F0C56D7334FBC603917418A5BE7E165084FC210049C7D0A3AD26D73D91ZAoFF" TargetMode="External"/><Relationship Id="rId43" Type="http://schemas.openxmlformats.org/officeDocument/2006/relationships/hyperlink" Target="consultantplus://offline/ref=CA623DFA9C1EE1CC8332D3F0C56D7334F8CE0194721AA5BE7E165084FC210049C7D0A3AD26D73C90ZAo1F" TargetMode="External"/><Relationship Id="rId48" Type="http://schemas.openxmlformats.org/officeDocument/2006/relationships/hyperlink" Target="consultantplus://offline/ref=CA623DFA9C1EE1CC8332D3F0C56D7334F8C9099D731FA5BE7E165084FC210049C7D0A3AD26D73D91ZAo2F" TargetMode="External"/><Relationship Id="rId56" Type="http://schemas.openxmlformats.org/officeDocument/2006/relationships/hyperlink" Target="consultantplus://offline/ref=CA623DFA9C1EE1CC8332D3F0C56D7334FBCA0290741DA5BE7E165084FC210049C7D0A3AD26D73D92ZAo6F" TargetMode="External"/><Relationship Id="rId64" Type="http://schemas.openxmlformats.org/officeDocument/2006/relationships/hyperlink" Target="consultantplus://offline/ref=CA623DFA9C1EE1CC8332D3F0C56D7334FBCB03917F1BA5BE7E165084FC210049C7D0A3AD26D73D97ZAo0F" TargetMode="External"/><Relationship Id="rId69" Type="http://schemas.openxmlformats.org/officeDocument/2006/relationships/hyperlink" Target="consultantplus://offline/ref=CA623DFA9C1EE1CC8332D3F0C56D7334FBC603917418A5BE7E165084FC210049C7D0A3AD26D73D97ZAo7F" TargetMode="External"/><Relationship Id="rId8" Type="http://schemas.openxmlformats.org/officeDocument/2006/relationships/hyperlink" Target="consultantplus://offline/ref=CA623DFA9C1EE1CC8332D3F0C56D7334F8CE0194721AA5BE7E165084FC210049C7D0A3AD26D73C90ZAo7F" TargetMode="External"/><Relationship Id="rId51" Type="http://schemas.openxmlformats.org/officeDocument/2006/relationships/hyperlink" Target="consultantplus://offline/ref=CA623DFA9C1EE1CC8332D3F0C56D7334F8C60997771DA5BE7E165084FC210049C7D0A3AD26D73D92ZAo1F" TargetMode="External"/><Relationship Id="rId72" Type="http://schemas.openxmlformats.org/officeDocument/2006/relationships/hyperlink" Target="consultantplus://offline/ref=CA623DFA9C1EE1CC8332D3F0C56D7334FBC603917418A5BE7E165084FC210049C7D0A3AD26D73D97ZAo7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A623DFA9C1EE1CC8332D3F0C56D7334F2CB05907617F8B4764F5C86ZFoBF" TargetMode="External"/><Relationship Id="rId17" Type="http://schemas.openxmlformats.org/officeDocument/2006/relationships/hyperlink" Target="consultantplus://offline/ref=CA623DFA9C1EE1CC8332D3F0C56D7334F8CE0194721AA5BE7E165084FC210049C7D0A3AD26D73C90ZAo7F" TargetMode="External"/><Relationship Id="rId25" Type="http://schemas.openxmlformats.org/officeDocument/2006/relationships/hyperlink" Target="consultantplus://offline/ref=CA623DFA9C1EE1CC8332D3F0C56D7334F8C9099D731EA5BE7E165084FC210049C7D0A3AD26D73D92ZAo1F" TargetMode="External"/><Relationship Id="rId33" Type="http://schemas.openxmlformats.org/officeDocument/2006/relationships/hyperlink" Target="consultantplus://offline/ref=CA623DFA9C1EE1CC8332D3F0C56D7334FBCA04977115A5BE7E165084FC210049C7D0A3AD26D73D90ZAoFF" TargetMode="External"/><Relationship Id="rId38" Type="http://schemas.openxmlformats.org/officeDocument/2006/relationships/hyperlink" Target="consultantplus://offline/ref=CA623DFA9C1EE1CC8332D3F0C56D7334F8CE0194721AA5BE7E165084FC210049C7D0A3AD26D73C90ZAo3F" TargetMode="External"/><Relationship Id="rId46" Type="http://schemas.openxmlformats.org/officeDocument/2006/relationships/hyperlink" Target="consultantplus://offline/ref=CA623DFA9C1EE1CC8332D3F0C56D7334FBC603917418A5BE7E165084FC210049C7D0A3AD26D73D90ZAo2F" TargetMode="External"/><Relationship Id="rId59" Type="http://schemas.openxmlformats.org/officeDocument/2006/relationships/hyperlink" Target="consultantplus://offline/ref=CA623DFA9C1EE1CC8332D3F0C56D7334FBCA04977115A5BE7E165084FC210049C7D0A3AD26D73D97ZAoEF" TargetMode="External"/><Relationship Id="rId67" Type="http://schemas.openxmlformats.org/officeDocument/2006/relationships/hyperlink" Target="consultantplus://offline/ref=CA623DFA9C1EE1CC8332D3F0C56D7334FBC603917418A5BE7E165084FC210049C7D0A3AD26D73D97ZAo7F" TargetMode="External"/><Relationship Id="rId20" Type="http://schemas.openxmlformats.org/officeDocument/2006/relationships/hyperlink" Target="consultantplus://offline/ref=CA623DFA9C1EE1CC8332D3F0C56D7334FBCA04977115A5BE7E165084FC210049C7D0A3AD26D73D90ZAo6F" TargetMode="External"/><Relationship Id="rId41" Type="http://schemas.openxmlformats.org/officeDocument/2006/relationships/hyperlink" Target="consultantplus://offline/ref=CA623DFA9C1EE1CC8332D3F0C56D7334F8C60997771DA5BE7E165084FC210049C7D0A3AD26D73D92ZAo1F" TargetMode="External"/><Relationship Id="rId54" Type="http://schemas.openxmlformats.org/officeDocument/2006/relationships/hyperlink" Target="consultantplus://offline/ref=CA623DFA9C1EE1CC8332D3F0C56D7334F8CE0194721AA5BE7E165084FC210049C7D0A3AD26D73C90ZAoFF" TargetMode="External"/><Relationship Id="rId62" Type="http://schemas.openxmlformats.org/officeDocument/2006/relationships/hyperlink" Target="consultantplus://offline/ref=CA623DFA9C1EE1CC8332D3F0C56D7334FBCA0290741DA5BE7E165084FC210049C7D0A3ZAo8F" TargetMode="External"/><Relationship Id="rId70" Type="http://schemas.openxmlformats.org/officeDocument/2006/relationships/hyperlink" Target="consultantplus://offline/ref=CA623DFA9C1EE1CC8332D3F0C56D7334FBC603917418A5BE7E165084FC210049C7D0A3AD26D73D97ZAo7F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623DFA9C1EE1CC8332D3F0C56D7334FBCA04977115A5BE7E165084FC210049C7D0A3AD26D73D91ZA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5097</Words>
  <Characters>29053</Characters>
  <Application>Microsoft Office Word</Application>
  <DocSecurity>0</DocSecurity>
  <Lines>242</Lines>
  <Paragraphs>68</Paragraphs>
  <ScaleCrop>false</ScaleCrop>
  <Company>SPecialiST RePack</Company>
  <LinksUpToDate>false</LinksUpToDate>
  <CharactersWithSpaces>34082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2</cp:revision>
  <dcterms:created xsi:type="dcterms:W3CDTF">2018-04-04T05:40:00Z</dcterms:created>
  <dcterms:modified xsi:type="dcterms:W3CDTF">2018-04-04T05:41:00Z</dcterms:modified>
</cp:coreProperties>
</file>